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D" w:rsidRPr="00B8537D" w:rsidRDefault="00B8537D" w:rsidP="00B8537D">
      <w:pPr>
        <w:shd w:val="clear" w:color="auto" w:fill="FFFFFF"/>
        <w:spacing w:after="360" w:line="240" w:lineRule="auto"/>
        <w:jc w:val="center"/>
        <w:textAlignment w:val="baseline"/>
        <w:rPr>
          <w:rFonts w:ascii="Times New Roman" w:eastAsia="Times New Roman" w:hAnsi="Times New Roman" w:cs="Times New Roman"/>
          <w:b/>
          <w:color w:val="484A4B"/>
          <w:sz w:val="28"/>
          <w:szCs w:val="28"/>
          <w:lang w:eastAsia="ro-RO"/>
        </w:rPr>
      </w:pPr>
      <w:bookmarkStart w:id="0" w:name="_GoBack"/>
      <w:r w:rsidRPr="00B8537D">
        <w:rPr>
          <w:rFonts w:ascii="Times New Roman" w:eastAsia="Times New Roman" w:hAnsi="Times New Roman" w:cs="Times New Roman"/>
          <w:b/>
          <w:color w:val="484A4B"/>
          <w:sz w:val="28"/>
          <w:szCs w:val="28"/>
          <w:lang w:eastAsia="ro-RO"/>
        </w:rPr>
        <w:t>Reținerile din salariile lucrătorilor se pot face numai în cazurile prevăzute de Codul muncii (CM) și de alte acte normative.</w:t>
      </w:r>
    </w:p>
    <w:bookmarkEnd w:id="0"/>
    <w:p w:rsidR="00B8537D" w:rsidRPr="00B8537D" w:rsidRDefault="00B8537D" w:rsidP="00B8537D">
      <w:pPr>
        <w:shd w:val="clear" w:color="auto" w:fill="FFFFFF"/>
        <w:spacing w:after="360" w:line="240" w:lineRule="auto"/>
        <w:textAlignment w:val="baseline"/>
        <w:rPr>
          <w:rFonts w:ascii="Times New Roman" w:eastAsia="Times New Roman" w:hAnsi="Times New Roman" w:cs="Times New Roman"/>
          <w:color w:val="484A4B"/>
          <w:sz w:val="28"/>
          <w:szCs w:val="28"/>
          <w:lang w:eastAsia="ro-RO"/>
        </w:rPr>
      </w:pPr>
      <w:r w:rsidRPr="00B8537D">
        <w:rPr>
          <w:rFonts w:ascii="Times New Roman" w:eastAsia="Times New Roman" w:hAnsi="Times New Roman" w:cs="Times New Roman"/>
          <w:color w:val="484A4B"/>
          <w:sz w:val="28"/>
          <w:szCs w:val="28"/>
          <w:lang w:eastAsia="ro-RO"/>
        </w:rPr>
        <w:t>Art.148 din CM stabilește cazurile în care angajatorul poate, dar nu este obligat, să efectueze rețineri din salariu, și cazurile în care astfel de rețineri nu se fac.</w:t>
      </w:r>
    </w:p>
    <w:p w:rsidR="00B8537D" w:rsidRPr="00B8537D" w:rsidRDefault="00B8537D" w:rsidP="00B8537D">
      <w:pPr>
        <w:shd w:val="clear" w:color="auto" w:fill="FFFFFF"/>
        <w:spacing w:after="360" w:line="240" w:lineRule="auto"/>
        <w:textAlignment w:val="baseline"/>
        <w:rPr>
          <w:rFonts w:ascii="Times New Roman" w:eastAsia="Times New Roman" w:hAnsi="Times New Roman" w:cs="Times New Roman"/>
          <w:color w:val="484A4B"/>
          <w:sz w:val="28"/>
          <w:szCs w:val="28"/>
          <w:lang w:eastAsia="ro-RO"/>
        </w:rPr>
      </w:pPr>
      <w:r w:rsidRPr="00B8537D">
        <w:rPr>
          <w:rFonts w:ascii="Times New Roman" w:eastAsia="Times New Roman" w:hAnsi="Times New Roman" w:cs="Times New Roman"/>
          <w:color w:val="484A4B"/>
          <w:sz w:val="28"/>
          <w:szCs w:val="28"/>
          <w:lang w:eastAsia="ro-RO"/>
        </w:rPr>
        <w:t>Astfel, alin. (2) al art.148 din CM dispune că reținerile din salariu pentru achitarea datoriilor salariaților față de angajator se pot face în baza ordinului (dispoziției, deciziei, hotărârii) acestuia: pentru restituirea avansului eliberat în contul salariului; pentru restituirea sumelor plătite în plus în urma unor greșeli de calcul și altele.</w:t>
      </w:r>
    </w:p>
    <w:p w:rsidR="00B8537D" w:rsidRPr="00B8537D" w:rsidRDefault="00B8537D" w:rsidP="00B8537D">
      <w:pPr>
        <w:shd w:val="clear" w:color="auto" w:fill="FFFFFF"/>
        <w:spacing w:after="360" w:line="240" w:lineRule="auto"/>
        <w:textAlignment w:val="baseline"/>
        <w:rPr>
          <w:rFonts w:ascii="Times New Roman" w:eastAsia="Times New Roman" w:hAnsi="Times New Roman" w:cs="Times New Roman"/>
          <w:color w:val="484A4B"/>
          <w:sz w:val="28"/>
          <w:szCs w:val="28"/>
          <w:lang w:eastAsia="ro-RO"/>
        </w:rPr>
      </w:pPr>
      <w:r w:rsidRPr="00B8537D">
        <w:rPr>
          <w:rFonts w:ascii="Times New Roman" w:eastAsia="Times New Roman" w:hAnsi="Times New Roman" w:cs="Times New Roman"/>
          <w:color w:val="484A4B"/>
          <w:sz w:val="28"/>
          <w:szCs w:val="28"/>
          <w:lang w:eastAsia="ro-RO"/>
        </w:rPr>
        <w:t>În asemenea cazuri angajatorul are dreptul să emită ordinul de reținere în termen de cel mult o lună din ziua expirării termenului stabilit pentru restituirea avansului sau achitarea datoriei, din ziua efectuării plății greșit calculate ori a constatării prejudiciului mate</w:t>
      </w:r>
      <w:r w:rsidRPr="00B8537D">
        <w:rPr>
          <w:rFonts w:ascii="Times New Roman" w:eastAsia="Times New Roman" w:hAnsi="Times New Roman" w:cs="Times New Roman"/>
          <w:color w:val="484A4B"/>
          <w:sz w:val="28"/>
          <w:szCs w:val="28"/>
          <w:lang w:eastAsia="ro-RO"/>
        </w:rPr>
        <w:softHyphen/>
        <w:t>rial. Dacă acest termen a fost omis ori salariatul contestă temeiul sau cuantumul reținerii, litigiul se va examina de către instanța de judecată la cererea angajatorului sau a salariatului (art. 349-355 CM).</w:t>
      </w:r>
    </w:p>
    <w:p w:rsidR="00B8537D" w:rsidRPr="00B8537D" w:rsidRDefault="00B8537D" w:rsidP="00B8537D">
      <w:pPr>
        <w:shd w:val="clear" w:color="auto" w:fill="FFFFFF"/>
        <w:spacing w:after="360" w:line="240" w:lineRule="auto"/>
        <w:textAlignment w:val="baseline"/>
        <w:rPr>
          <w:rFonts w:ascii="Times New Roman" w:eastAsia="Times New Roman" w:hAnsi="Times New Roman" w:cs="Times New Roman"/>
          <w:color w:val="484A4B"/>
          <w:sz w:val="28"/>
          <w:szCs w:val="28"/>
          <w:lang w:eastAsia="ro-RO"/>
        </w:rPr>
      </w:pPr>
      <w:r w:rsidRPr="00B8537D">
        <w:rPr>
          <w:rFonts w:ascii="Times New Roman" w:eastAsia="Times New Roman" w:hAnsi="Times New Roman" w:cs="Times New Roman"/>
          <w:color w:val="484A4B"/>
          <w:sz w:val="28"/>
          <w:szCs w:val="28"/>
          <w:lang w:eastAsia="ro-RO"/>
        </w:rPr>
        <w:t>În caz de eliberare a salariatului înainte de expirarea anului de muncă în contul căruia el a folosit deja concediul, angajatorul îi poate (dar nu este obligat) reține din salariu suma achitată pentru zilele fără acoperire ale concediului. Însă reținerea pentru aceste zile nu se face dacă salariatul și-a încetat sau suspendat activitatea în temeiurile care vizează:</w:t>
      </w:r>
    </w:p>
    <w:p w:rsidR="00B8537D" w:rsidRPr="00B8537D" w:rsidRDefault="00B8537D" w:rsidP="00B8537D">
      <w:pPr>
        <w:numPr>
          <w:ilvl w:val="0"/>
          <w:numId w:val="1"/>
        </w:numPr>
        <w:shd w:val="clear" w:color="auto" w:fill="FFFFFF"/>
        <w:spacing w:before="105" w:after="105" w:line="240" w:lineRule="auto"/>
        <w:ind w:left="150"/>
        <w:textAlignment w:val="baseline"/>
        <w:rPr>
          <w:rFonts w:ascii="Times New Roman" w:eastAsia="Times New Roman" w:hAnsi="Times New Roman" w:cs="Times New Roman"/>
          <w:color w:val="484A4B"/>
          <w:sz w:val="28"/>
          <w:szCs w:val="28"/>
          <w:lang w:eastAsia="ro-RO"/>
        </w:rPr>
      </w:pPr>
      <w:r w:rsidRPr="00B8537D">
        <w:rPr>
          <w:rFonts w:ascii="Times New Roman" w:eastAsia="Times New Roman" w:hAnsi="Times New Roman" w:cs="Times New Roman"/>
          <w:color w:val="484A4B"/>
          <w:sz w:val="28"/>
          <w:szCs w:val="28"/>
          <w:lang w:eastAsia="ro-RO"/>
        </w:rPr>
        <w:t>suspendarea Contractului individual de muncă (CIM) în legătu</w:t>
      </w:r>
      <w:r w:rsidRPr="00B8537D">
        <w:rPr>
          <w:rFonts w:ascii="Times New Roman" w:eastAsia="Times New Roman" w:hAnsi="Times New Roman" w:cs="Times New Roman"/>
          <w:color w:val="484A4B"/>
          <w:sz w:val="28"/>
          <w:szCs w:val="28"/>
          <w:lang w:eastAsia="ro-RO"/>
        </w:rPr>
        <w:softHyphen/>
        <w:t>ră cu încorporarea în serviciul militar în termen, în serviciul militar cu termen redus sau în serviciul civil (art.76 lit. e) CM);</w:t>
      </w:r>
    </w:p>
    <w:p w:rsidR="00B8537D" w:rsidRPr="00B8537D" w:rsidRDefault="00B8537D" w:rsidP="00B8537D">
      <w:pPr>
        <w:numPr>
          <w:ilvl w:val="0"/>
          <w:numId w:val="1"/>
        </w:numPr>
        <w:shd w:val="clear" w:color="auto" w:fill="FFFFFF"/>
        <w:spacing w:before="105" w:after="105" w:line="240" w:lineRule="auto"/>
        <w:ind w:left="150"/>
        <w:textAlignment w:val="baseline"/>
        <w:rPr>
          <w:rFonts w:ascii="Times New Roman" w:eastAsia="Times New Roman" w:hAnsi="Times New Roman" w:cs="Times New Roman"/>
          <w:color w:val="484A4B"/>
          <w:sz w:val="28"/>
          <w:szCs w:val="28"/>
          <w:lang w:eastAsia="ro-RO"/>
        </w:rPr>
      </w:pPr>
      <w:r w:rsidRPr="00B8537D">
        <w:rPr>
          <w:rFonts w:ascii="Times New Roman" w:eastAsia="Times New Roman" w:hAnsi="Times New Roman" w:cs="Times New Roman"/>
          <w:color w:val="484A4B"/>
          <w:sz w:val="28"/>
          <w:szCs w:val="28"/>
          <w:lang w:eastAsia="ro-RO"/>
        </w:rPr>
        <w:t> suspendarea CIM în caz de ocupare a unei funcții elective în autoritățile publice, în organele sindicale sau în cele patronale (art. 78 alin. (1) lit. d) CM);</w:t>
      </w:r>
    </w:p>
    <w:p w:rsidR="00B8537D" w:rsidRPr="00B8537D" w:rsidRDefault="00B8537D" w:rsidP="00B8537D">
      <w:pPr>
        <w:numPr>
          <w:ilvl w:val="0"/>
          <w:numId w:val="1"/>
        </w:numPr>
        <w:shd w:val="clear" w:color="auto" w:fill="FFFFFF"/>
        <w:spacing w:before="105" w:after="105" w:line="240" w:lineRule="auto"/>
        <w:ind w:left="150"/>
        <w:textAlignment w:val="baseline"/>
        <w:rPr>
          <w:rFonts w:ascii="Times New Roman" w:eastAsia="Times New Roman" w:hAnsi="Times New Roman" w:cs="Times New Roman"/>
          <w:color w:val="484A4B"/>
          <w:sz w:val="28"/>
          <w:szCs w:val="28"/>
          <w:lang w:eastAsia="ro-RO"/>
        </w:rPr>
      </w:pPr>
      <w:r w:rsidRPr="00B8537D">
        <w:rPr>
          <w:rFonts w:ascii="Times New Roman" w:eastAsia="Times New Roman" w:hAnsi="Times New Roman" w:cs="Times New Roman"/>
          <w:color w:val="484A4B"/>
          <w:sz w:val="28"/>
          <w:szCs w:val="28"/>
          <w:lang w:eastAsia="ro-RO"/>
        </w:rPr>
        <w:t> încetarea CIM în caz de atingere a vârstei de 65 de ani de către conducătorul unității de stat, inclusiv municipale sau al unității cu capital majoritar de stat (art. 82, lit. i) CM);</w:t>
      </w:r>
    </w:p>
    <w:p w:rsidR="00B8537D" w:rsidRPr="00B8537D" w:rsidRDefault="00B8537D" w:rsidP="00B8537D">
      <w:pPr>
        <w:numPr>
          <w:ilvl w:val="0"/>
          <w:numId w:val="1"/>
        </w:numPr>
        <w:shd w:val="clear" w:color="auto" w:fill="FFFFFF"/>
        <w:spacing w:before="105" w:after="105" w:line="240" w:lineRule="auto"/>
        <w:ind w:left="150"/>
        <w:textAlignment w:val="baseline"/>
        <w:rPr>
          <w:rFonts w:ascii="Times New Roman" w:eastAsia="Times New Roman" w:hAnsi="Times New Roman" w:cs="Times New Roman"/>
          <w:color w:val="484A4B"/>
          <w:sz w:val="28"/>
          <w:szCs w:val="28"/>
          <w:lang w:eastAsia="ro-RO"/>
        </w:rPr>
      </w:pPr>
      <w:r w:rsidRPr="00B8537D">
        <w:rPr>
          <w:rFonts w:ascii="Times New Roman" w:eastAsia="Times New Roman" w:hAnsi="Times New Roman" w:cs="Times New Roman"/>
          <w:color w:val="484A4B"/>
          <w:sz w:val="28"/>
          <w:szCs w:val="28"/>
          <w:lang w:eastAsia="ro-RO"/>
        </w:rPr>
        <w:t xml:space="preserve">concedierea pentru motive indicate la art. 86 alin.(1) lit. b)-e) și u) CM) și anume: lichidarea unității sau încetarea </w:t>
      </w:r>
      <w:proofErr w:type="spellStart"/>
      <w:r w:rsidRPr="00B8537D">
        <w:rPr>
          <w:rFonts w:ascii="Times New Roman" w:eastAsia="Times New Roman" w:hAnsi="Times New Roman" w:cs="Times New Roman"/>
          <w:color w:val="484A4B"/>
          <w:sz w:val="28"/>
          <w:szCs w:val="28"/>
          <w:lang w:eastAsia="ro-RO"/>
        </w:rPr>
        <w:t>activităţii</w:t>
      </w:r>
      <w:proofErr w:type="spellEnd"/>
      <w:r w:rsidRPr="00B8537D">
        <w:rPr>
          <w:rFonts w:ascii="Times New Roman" w:eastAsia="Times New Roman" w:hAnsi="Times New Roman" w:cs="Times New Roman"/>
          <w:color w:val="484A4B"/>
          <w:sz w:val="28"/>
          <w:szCs w:val="28"/>
          <w:lang w:eastAsia="ro-RO"/>
        </w:rPr>
        <w:t xml:space="preserve"> angaja</w:t>
      </w:r>
      <w:r w:rsidRPr="00B8537D">
        <w:rPr>
          <w:rFonts w:ascii="Times New Roman" w:eastAsia="Times New Roman" w:hAnsi="Times New Roman" w:cs="Times New Roman"/>
          <w:color w:val="484A4B"/>
          <w:sz w:val="28"/>
          <w:szCs w:val="28"/>
          <w:lang w:eastAsia="ro-RO"/>
        </w:rPr>
        <w:softHyphen/>
        <w:t>torului persoană fizică; reducerea numărului sau a statelor de per</w:t>
      </w:r>
      <w:r w:rsidRPr="00B8537D">
        <w:rPr>
          <w:rFonts w:ascii="Times New Roman" w:eastAsia="Times New Roman" w:hAnsi="Times New Roman" w:cs="Times New Roman"/>
          <w:color w:val="484A4B"/>
          <w:sz w:val="28"/>
          <w:szCs w:val="28"/>
          <w:lang w:eastAsia="ro-RO"/>
        </w:rPr>
        <w:softHyphen/>
        <w:t>sonal din unitate; constatarea faptului că salariatul nu corespunde funcției deținute sau muncii prestate din cauza stării de sănătate, în conformitate cu certificatul medical; constatarea faptului că sa</w:t>
      </w:r>
      <w:r w:rsidRPr="00B8537D">
        <w:rPr>
          <w:rFonts w:ascii="Times New Roman" w:eastAsia="Times New Roman" w:hAnsi="Times New Roman" w:cs="Times New Roman"/>
          <w:color w:val="484A4B"/>
          <w:sz w:val="28"/>
          <w:szCs w:val="28"/>
          <w:lang w:eastAsia="ro-RO"/>
        </w:rPr>
        <w:softHyphen/>
        <w:t>lariatul nu corespunde funcției deținute sau muncii prestate din cauza calificării insuficiente; transferarea salariatului la o altă uni</w:t>
      </w:r>
      <w:r w:rsidRPr="00B8537D">
        <w:rPr>
          <w:rFonts w:ascii="Times New Roman" w:eastAsia="Times New Roman" w:hAnsi="Times New Roman" w:cs="Times New Roman"/>
          <w:color w:val="484A4B"/>
          <w:sz w:val="28"/>
          <w:szCs w:val="28"/>
          <w:lang w:eastAsia="ro-RO"/>
        </w:rPr>
        <w:softHyphen/>
        <w:t>tate cu acordul celui transferat și al ambilor angajatori;</w:t>
      </w:r>
    </w:p>
    <w:p w:rsidR="00B8537D" w:rsidRPr="00B8537D" w:rsidRDefault="00B8537D" w:rsidP="00B8537D">
      <w:pPr>
        <w:numPr>
          <w:ilvl w:val="0"/>
          <w:numId w:val="1"/>
        </w:numPr>
        <w:shd w:val="clear" w:color="auto" w:fill="FFFFFF"/>
        <w:spacing w:before="105" w:after="105" w:line="240" w:lineRule="auto"/>
        <w:ind w:left="150"/>
        <w:textAlignment w:val="baseline"/>
        <w:rPr>
          <w:rFonts w:ascii="Times New Roman" w:eastAsia="Times New Roman" w:hAnsi="Times New Roman" w:cs="Times New Roman"/>
          <w:color w:val="484A4B"/>
          <w:sz w:val="28"/>
          <w:szCs w:val="28"/>
          <w:lang w:eastAsia="ro-RO"/>
        </w:rPr>
      </w:pPr>
      <w:r w:rsidRPr="00B8537D">
        <w:rPr>
          <w:rFonts w:ascii="Times New Roman" w:eastAsia="Times New Roman" w:hAnsi="Times New Roman" w:cs="Times New Roman"/>
          <w:color w:val="484A4B"/>
          <w:sz w:val="28"/>
          <w:szCs w:val="28"/>
          <w:lang w:eastAsia="ro-RO"/>
        </w:rPr>
        <w:lastRenderedPageBreak/>
        <w:t> în caz de pensionare sau înmatriculare la o instituție de învățământ conform art. 85 alin. (2) din CM, precum și în alte ca</w:t>
      </w:r>
      <w:r w:rsidRPr="00B8537D">
        <w:rPr>
          <w:rFonts w:ascii="Times New Roman" w:eastAsia="Times New Roman" w:hAnsi="Times New Roman" w:cs="Times New Roman"/>
          <w:color w:val="484A4B"/>
          <w:sz w:val="28"/>
          <w:szCs w:val="28"/>
          <w:lang w:eastAsia="ro-RO"/>
        </w:rPr>
        <w:softHyphen/>
        <w:t>zuri prevăzute de contractul colectiv sau cel individual de muncă ori prin acordul scris al părților.</w:t>
      </w:r>
    </w:p>
    <w:p w:rsidR="00B8537D" w:rsidRPr="00B8537D" w:rsidRDefault="00B8537D" w:rsidP="00B8537D">
      <w:pPr>
        <w:shd w:val="clear" w:color="auto" w:fill="FFFFFF"/>
        <w:spacing w:after="360" w:line="240" w:lineRule="auto"/>
        <w:textAlignment w:val="baseline"/>
        <w:rPr>
          <w:rFonts w:ascii="Times New Roman" w:eastAsia="Times New Roman" w:hAnsi="Times New Roman" w:cs="Times New Roman"/>
          <w:color w:val="484A4B"/>
          <w:sz w:val="28"/>
          <w:szCs w:val="28"/>
          <w:lang w:eastAsia="ro-RO"/>
        </w:rPr>
      </w:pPr>
      <w:r w:rsidRPr="00B8537D">
        <w:rPr>
          <w:rFonts w:ascii="Times New Roman" w:eastAsia="Times New Roman" w:hAnsi="Times New Roman" w:cs="Times New Roman"/>
          <w:color w:val="484A4B"/>
          <w:sz w:val="28"/>
          <w:szCs w:val="28"/>
          <w:lang w:eastAsia="ro-RO"/>
        </w:rPr>
        <w:t>Salariul plătit în plus salariatului de către angajator (inclusiv în cazul aplicării greșite a legislației în vigoare) nu poate fi urmărit, cu excepția cazurilor unei greșelii de calcul.</w:t>
      </w:r>
    </w:p>
    <w:p w:rsidR="00D7057E" w:rsidRDefault="00D7057E"/>
    <w:sectPr w:rsidR="00D70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7D5E"/>
    <w:multiLevelType w:val="multilevel"/>
    <w:tmpl w:val="9DA4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7D"/>
    <w:rsid w:val="00B8537D"/>
    <w:rsid w:val="00D705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70B39-2CAC-4689-878F-DFA7FAFB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Cimpoiesu</dc:creator>
  <cp:keywords/>
  <dc:description/>
  <cp:lastModifiedBy>Ana Cimpoiesu</cp:lastModifiedBy>
  <cp:revision>1</cp:revision>
  <dcterms:created xsi:type="dcterms:W3CDTF">2021-06-03T10:58:00Z</dcterms:created>
  <dcterms:modified xsi:type="dcterms:W3CDTF">2021-06-03T10:59:00Z</dcterms:modified>
</cp:coreProperties>
</file>